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F313" w14:textId="77777777" w:rsidR="001A1168" w:rsidRPr="0058466E" w:rsidRDefault="001A1168" w:rsidP="001A1168">
      <w:pPr>
        <w:ind w:firstLine="0"/>
        <w:jc w:val="center"/>
        <w:rPr>
          <w:rFonts w:ascii="Arial" w:hAnsi="Arial" w:cs="Arial"/>
          <w:b/>
          <w:bCs/>
          <w:sz w:val="28"/>
          <w:szCs w:val="28"/>
        </w:rPr>
      </w:pPr>
      <w:bookmarkStart w:id="0" w:name="_GoBack"/>
      <w:bookmarkEnd w:id="0"/>
      <w:r w:rsidRPr="0058466E">
        <w:rPr>
          <w:rFonts w:ascii="Arial" w:hAnsi="Arial" w:cs="Arial"/>
          <w:b/>
          <w:bCs/>
          <w:sz w:val="28"/>
          <w:szCs w:val="28"/>
        </w:rPr>
        <w:t>Records Retention Guidelines and Sample Policy</w:t>
      </w:r>
    </w:p>
    <w:p w14:paraId="44C5FB51" w14:textId="77777777" w:rsidR="001A1168" w:rsidRPr="0058466E" w:rsidRDefault="001A1168" w:rsidP="001A1168">
      <w:pPr>
        <w:ind w:firstLine="0"/>
        <w:rPr>
          <w:b/>
          <w:bCs/>
          <w:sz w:val="32"/>
          <w:szCs w:val="32"/>
        </w:rPr>
      </w:pPr>
    </w:p>
    <w:p w14:paraId="7A471CFA"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 xml:space="preserve">Most of the documents acquired or produced by the grand jury are confidential and must be maintained or disposed of in accordance with state law. </w:t>
      </w:r>
    </w:p>
    <w:p w14:paraId="152F98C3" w14:textId="77777777" w:rsidR="001A1168" w:rsidRPr="0058466E" w:rsidRDefault="001A1168" w:rsidP="001A1168">
      <w:pPr>
        <w:ind w:firstLine="0"/>
        <w:rPr>
          <w:rFonts w:ascii="Times New Roman" w:hAnsi="Times New Roman"/>
          <w:sz w:val="24"/>
          <w:szCs w:val="24"/>
        </w:rPr>
      </w:pPr>
    </w:p>
    <w:p w14:paraId="5E0420B8"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 xml:space="preserve">While a grand jury is ordinarily prohibited from revealing confidential information to a later grand jury, it may pass </w:t>
      </w:r>
      <w:r w:rsidRPr="0058466E">
        <w:rPr>
          <w:rFonts w:ascii="Times New Roman" w:hAnsi="Times New Roman"/>
          <w:b/>
          <w:bCs/>
          <w:sz w:val="24"/>
          <w:szCs w:val="24"/>
        </w:rPr>
        <w:t>civil investigative materials</w:t>
      </w:r>
      <w:r w:rsidRPr="0058466E">
        <w:rPr>
          <w:rFonts w:ascii="Times New Roman" w:hAnsi="Times New Roman"/>
          <w:sz w:val="24"/>
          <w:szCs w:val="24"/>
        </w:rPr>
        <w:t xml:space="preserve"> to the succeeding grand jury. The next year’s jury can then decide whether it wants to pursue its own investigation of the matter. Materials that could be used to support an indictment may not be passed on. </w:t>
      </w:r>
    </w:p>
    <w:p w14:paraId="5F680F4E" w14:textId="77777777" w:rsidR="001A1168" w:rsidRPr="0058466E" w:rsidRDefault="001A1168" w:rsidP="001A1168">
      <w:pPr>
        <w:ind w:firstLine="0"/>
        <w:rPr>
          <w:rFonts w:ascii="Times New Roman" w:hAnsi="Times New Roman"/>
          <w:sz w:val="24"/>
          <w:szCs w:val="24"/>
        </w:rPr>
      </w:pPr>
    </w:p>
    <w:p w14:paraId="362002B8"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 xml:space="preserve">Penal Code §924.4 states that a grand jury or the presiding superior court judge (if the jury is no longer impaneled) can “pass on… any records, information, or evidence </w:t>
      </w:r>
      <w:r w:rsidRPr="0058466E">
        <w:rPr>
          <w:rFonts w:ascii="Times New Roman" w:hAnsi="Times New Roman"/>
          <w:b/>
          <w:bCs/>
          <w:sz w:val="24"/>
          <w:szCs w:val="24"/>
        </w:rPr>
        <w:t>acquired by</w:t>
      </w:r>
      <w:r w:rsidRPr="0058466E">
        <w:rPr>
          <w:rFonts w:ascii="Times New Roman" w:hAnsi="Times New Roman"/>
          <w:sz w:val="24"/>
          <w:szCs w:val="24"/>
        </w:rPr>
        <w:t xml:space="preserve"> the grand jury during the course” of an investigation. The term “acquired” means something received or obtained from an outside source. This includes recordings or transcripts of interviews, as well as public records, research documents, and complaints or residents’ requests for investigation. </w:t>
      </w:r>
    </w:p>
    <w:p w14:paraId="05152F74" w14:textId="77777777" w:rsidR="001A1168" w:rsidRPr="0058466E" w:rsidRDefault="001A1168" w:rsidP="001A1168">
      <w:pPr>
        <w:ind w:firstLine="0"/>
        <w:rPr>
          <w:rFonts w:ascii="Times New Roman" w:hAnsi="Times New Roman"/>
          <w:sz w:val="24"/>
          <w:szCs w:val="24"/>
        </w:rPr>
      </w:pPr>
    </w:p>
    <w:p w14:paraId="18CA2A1E"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Penal Code §924.4 is an exception to the Penal Code §924.1 confidentiality rules, allowing these limited evidentiary materials to be passed on to a succeeding jury. It does not allow for oral communications between juries regarding these records.</w:t>
      </w:r>
    </w:p>
    <w:p w14:paraId="1EBE847C" w14:textId="77777777" w:rsidR="001A1168" w:rsidRPr="0058466E" w:rsidRDefault="001A1168" w:rsidP="001A1168">
      <w:pPr>
        <w:ind w:firstLine="0"/>
        <w:rPr>
          <w:rFonts w:ascii="Times New Roman" w:hAnsi="Times New Roman"/>
          <w:sz w:val="24"/>
          <w:szCs w:val="24"/>
        </w:rPr>
      </w:pPr>
    </w:p>
    <w:p w14:paraId="0DED5CBF"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 xml:space="preserve">Because of the confidentiality mandates of Penal Code §924.1, juries are barred from passing on any internally developed documents, including minutes of plenary and committee meetings, memos, logs, emails, and work plans, as well as draft grand jury reports. A jury should not give the succeeding jury a cover memo or an evaluation of the materials that are passed on. </w:t>
      </w:r>
    </w:p>
    <w:p w14:paraId="660BBABD" w14:textId="77777777" w:rsidR="001A1168" w:rsidRPr="0058466E" w:rsidRDefault="001A1168" w:rsidP="001A1168">
      <w:pPr>
        <w:ind w:firstLine="0"/>
        <w:rPr>
          <w:rFonts w:ascii="Times New Roman" w:hAnsi="Times New Roman"/>
          <w:sz w:val="24"/>
          <w:szCs w:val="24"/>
        </w:rPr>
      </w:pPr>
    </w:p>
    <w:p w14:paraId="6B07DD11"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Passing on these evidentiary materials is a “public action” (because it reveals confidential evidence to someone outside of the jury that acquired it), so a supermajority vote is needed.</w:t>
      </w:r>
    </w:p>
    <w:p w14:paraId="27B8D169"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 xml:space="preserve">  </w:t>
      </w:r>
    </w:p>
    <w:p w14:paraId="784662E9"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All materials not passed on to the next jury in the manner described above should be treated as follows at the end of the grand jury term:</w:t>
      </w:r>
    </w:p>
    <w:p w14:paraId="3F4D8692" w14:textId="77777777" w:rsidR="001A1168" w:rsidRPr="0058466E" w:rsidRDefault="001A1168" w:rsidP="001A1168">
      <w:pPr>
        <w:ind w:firstLine="0"/>
        <w:rPr>
          <w:rFonts w:ascii="Times New Roman" w:hAnsi="Times New Roman"/>
          <w:sz w:val="24"/>
          <w:szCs w:val="24"/>
        </w:rPr>
      </w:pPr>
    </w:p>
    <w:p w14:paraId="1C3067AF" w14:textId="77777777" w:rsidR="001A1168" w:rsidRPr="0058466E" w:rsidRDefault="001A1168" w:rsidP="001A1168">
      <w:pPr>
        <w:numPr>
          <w:ilvl w:val="0"/>
          <w:numId w:val="1"/>
        </w:numPr>
        <w:rPr>
          <w:rFonts w:ascii="Times New Roman" w:hAnsi="Times New Roman"/>
          <w:sz w:val="24"/>
          <w:szCs w:val="24"/>
        </w:rPr>
      </w:pPr>
      <w:r w:rsidRPr="0058466E">
        <w:rPr>
          <w:rFonts w:ascii="Times New Roman" w:hAnsi="Times New Roman"/>
          <w:sz w:val="24"/>
          <w:szCs w:val="24"/>
        </w:rPr>
        <w:t xml:space="preserve">Investigation files on completed or abandoned reports (or on incomplete investigations that are not being passed forward) should be sealed, dated, held for one year, and then shredded, unless there is a potential for a defamation claim (in which case all materials related to that matter should be given to county counsel). </w:t>
      </w:r>
    </w:p>
    <w:p w14:paraId="0806537C" w14:textId="77777777" w:rsidR="001A1168" w:rsidRPr="0058466E" w:rsidRDefault="001A1168" w:rsidP="001A1168">
      <w:pPr>
        <w:ind w:firstLine="0"/>
        <w:rPr>
          <w:rFonts w:ascii="Times New Roman" w:hAnsi="Times New Roman"/>
          <w:sz w:val="24"/>
          <w:szCs w:val="24"/>
        </w:rPr>
      </w:pPr>
    </w:p>
    <w:p w14:paraId="75BD6448" w14:textId="77777777" w:rsidR="001A1168" w:rsidRPr="0058466E" w:rsidRDefault="001A1168" w:rsidP="001A1168">
      <w:pPr>
        <w:numPr>
          <w:ilvl w:val="0"/>
          <w:numId w:val="1"/>
        </w:numPr>
        <w:rPr>
          <w:rFonts w:ascii="Times New Roman" w:hAnsi="Times New Roman"/>
          <w:sz w:val="24"/>
          <w:szCs w:val="24"/>
        </w:rPr>
      </w:pPr>
      <w:r w:rsidRPr="0058466E">
        <w:rPr>
          <w:rFonts w:ascii="Times New Roman" w:hAnsi="Times New Roman"/>
          <w:sz w:val="24"/>
          <w:szCs w:val="24"/>
        </w:rPr>
        <w:t>All other confidential materials (notes, minutes, complaint logs, correspondence, draft reports, and other documents produced by the grand jury) must be destroyed at the end of the term, either by deleting them from digital storage or shredding hard copies, or both.</w:t>
      </w:r>
    </w:p>
    <w:p w14:paraId="7DBD0CBF" w14:textId="77777777" w:rsidR="001A1168" w:rsidRPr="0058466E" w:rsidRDefault="001A1168" w:rsidP="001A1168">
      <w:pPr>
        <w:ind w:firstLine="0"/>
        <w:rPr>
          <w:rFonts w:ascii="Times New Roman" w:hAnsi="Times New Roman"/>
          <w:sz w:val="24"/>
          <w:szCs w:val="24"/>
        </w:rPr>
      </w:pPr>
    </w:p>
    <w:p w14:paraId="589EFF7C" w14:textId="77777777" w:rsidR="001A1168" w:rsidRDefault="001A1168" w:rsidP="001A1168">
      <w:pPr>
        <w:numPr>
          <w:ilvl w:val="0"/>
          <w:numId w:val="1"/>
        </w:numPr>
        <w:rPr>
          <w:rFonts w:ascii="Times New Roman" w:hAnsi="Times New Roman"/>
          <w:sz w:val="24"/>
          <w:szCs w:val="24"/>
        </w:rPr>
      </w:pPr>
      <w:r w:rsidRPr="0058466E">
        <w:rPr>
          <w:rFonts w:ascii="Times New Roman" w:hAnsi="Times New Roman"/>
          <w:sz w:val="24"/>
          <w:szCs w:val="24"/>
        </w:rPr>
        <w:t>Confidential grand jury information must be removed from the jury’s computers and the jurors’ devices and storage.</w:t>
      </w:r>
    </w:p>
    <w:p w14:paraId="66BC1AE0" w14:textId="77777777" w:rsidR="001A1168" w:rsidRDefault="001A1168" w:rsidP="001A1168">
      <w:pPr>
        <w:pStyle w:val="ListParagraph"/>
        <w:rPr>
          <w:rFonts w:ascii="Times New Roman" w:hAnsi="Times New Roman"/>
          <w:sz w:val="24"/>
          <w:szCs w:val="24"/>
        </w:rPr>
      </w:pPr>
    </w:p>
    <w:p w14:paraId="595FF39E" w14:textId="77777777" w:rsidR="001A1168" w:rsidRDefault="001A1168" w:rsidP="001A1168">
      <w:pPr>
        <w:rPr>
          <w:rFonts w:ascii="Times New Roman" w:hAnsi="Times New Roman"/>
          <w:sz w:val="24"/>
          <w:szCs w:val="24"/>
        </w:rPr>
      </w:pPr>
    </w:p>
    <w:p w14:paraId="5111D1FC" w14:textId="77777777" w:rsidR="001A1168" w:rsidRDefault="001A1168" w:rsidP="001A1168">
      <w:pPr>
        <w:rPr>
          <w:rFonts w:ascii="Times New Roman" w:hAnsi="Times New Roman"/>
          <w:sz w:val="24"/>
          <w:szCs w:val="24"/>
        </w:rPr>
      </w:pPr>
    </w:p>
    <w:p w14:paraId="33B1855E" w14:textId="77777777" w:rsidR="001A1168" w:rsidRPr="0058466E" w:rsidRDefault="001A1168" w:rsidP="001A1168">
      <w:pPr>
        <w:rPr>
          <w:rFonts w:ascii="Times New Roman" w:hAnsi="Times New Roman"/>
          <w:sz w:val="24"/>
          <w:szCs w:val="24"/>
        </w:rPr>
      </w:pPr>
    </w:p>
    <w:p w14:paraId="3C56324D" w14:textId="77777777" w:rsidR="001A1168" w:rsidRPr="0058466E" w:rsidRDefault="001A1168" w:rsidP="001A1168">
      <w:pPr>
        <w:ind w:firstLine="0"/>
        <w:rPr>
          <w:rFonts w:ascii="Times New Roman" w:hAnsi="Times New Roman"/>
          <w:sz w:val="24"/>
          <w:szCs w:val="24"/>
        </w:rPr>
      </w:pPr>
    </w:p>
    <w:p w14:paraId="51D494EE" w14:textId="77777777" w:rsidR="001A1168" w:rsidRPr="002B23B8" w:rsidRDefault="001A1168" w:rsidP="001A1168">
      <w:pPr>
        <w:ind w:firstLine="0"/>
        <w:jc w:val="center"/>
        <w:rPr>
          <w:rFonts w:ascii="Arial" w:hAnsi="Arial" w:cs="Arial"/>
          <w:b/>
          <w:bCs/>
          <w:sz w:val="24"/>
          <w:szCs w:val="24"/>
        </w:rPr>
      </w:pPr>
      <w:r w:rsidRPr="002B23B8">
        <w:rPr>
          <w:rFonts w:ascii="Arial" w:hAnsi="Arial" w:cs="Arial"/>
          <w:b/>
          <w:bCs/>
          <w:sz w:val="24"/>
          <w:szCs w:val="24"/>
        </w:rPr>
        <w:lastRenderedPageBreak/>
        <w:t>Sample Records Retention Policy</w:t>
      </w:r>
    </w:p>
    <w:p w14:paraId="636249F2" w14:textId="77777777" w:rsidR="001A1168" w:rsidRPr="0058466E" w:rsidRDefault="001A1168" w:rsidP="001A1168">
      <w:pPr>
        <w:ind w:firstLine="0"/>
        <w:jc w:val="center"/>
        <w:rPr>
          <w:rFonts w:ascii="Times New Roman" w:hAnsi="Times New Roman"/>
          <w:b/>
          <w:sz w:val="24"/>
          <w:szCs w:val="24"/>
        </w:rPr>
      </w:pPr>
    </w:p>
    <w:p w14:paraId="4CBBC0CD" w14:textId="77777777" w:rsidR="001A1168" w:rsidRPr="0058466E" w:rsidRDefault="001A1168" w:rsidP="001A1168">
      <w:pPr>
        <w:ind w:firstLine="0"/>
        <w:rPr>
          <w:rFonts w:ascii="Times New Roman" w:hAnsi="Times New Roman"/>
          <w:sz w:val="24"/>
          <w:szCs w:val="24"/>
        </w:rPr>
      </w:pPr>
      <w:r w:rsidRPr="0058466E">
        <w:rPr>
          <w:rFonts w:ascii="Times New Roman" w:hAnsi="Times New Roman"/>
          <w:sz w:val="24"/>
          <w:szCs w:val="24"/>
        </w:rPr>
        <w:t>The following depicts a Record Retention Policy using a table format:</w:t>
      </w:r>
    </w:p>
    <w:p w14:paraId="59E043ED" w14:textId="77777777" w:rsidR="001A1168" w:rsidRPr="0058466E" w:rsidRDefault="001A1168" w:rsidP="001A1168">
      <w:pPr>
        <w:ind w:firstLine="0"/>
        <w:rPr>
          <w:rFonts w:ascii="Times New Roman" w:hAnsi="Times New Roman"/>
          <w:sz w:val="24"/>
          <w:szCs w:val="24"/>
        </w:rPr>
      </w:pPr>
    </w:p>
    <w:p w14:paraId="0B9AB192" w14:textId="77777777" w:rsidR="001A1168" w:rsidRPr="0058466E" w:rsidRDefault="001A1168" w:rsidP="001A1168">
      <w:pPr>
        <w:ind w:firstLine="0"/>
        <w:rPr>
          <w:rFonts w:ascii="Times New Roman" w:hAnsi="Times New Roman"/>
          <w:sz w:val="24"/>
          <w:szCs w:val="24"/>
        </w:rPr>
      </w:pPr>
    </w:p>
    <w:tbl>
      <w:tblPr>
        <w:tblW w:w="9566" w:type="dxa"/>
        <w:tblBorders>
          <w:top w:val="single" w:sz="4" w:space="0" w:color="1E3660"/>
          <w:left w:val="single" w:sz="4" w:space="0" w:color="1E3660"/>
          <w:bottom w:val="single" w:sz="4" w:space="0" w:color="1E3660"/>
          <w:right w:val="single" w:sz="4" w:space="0" w:color="1E3660"/>
          <w:insideH w:val="single" w:sz="4" w:space="0" w:color="1E3660"/>
          <w:insideV w:val="single" w:sz="4" w:space="0" w:color="1E3660"/>
        </w:tblBorders>
        <w:tblLook w:val="04A0" w:firstRow="1" w:lastRow="0" w:firstColumn="1" w:lastColumn="0" w:noHBand="0" w:noVBand="1"/>
      </w:tblPr>
      <w:tblGrid>
        <w:gridCol w:w="3415"/>
        <w:gridCol w:w="6151"/>
      </w:tblGrid>
      <w:tr w:rsidR="001A1168" w:rsidRPr="0058466E" w14:paraId="3AF42B2A" w14:textId="77777777" w:rsidTr="00CA06F2">
        <w:trPr>
          <w:trHeight w:val="350"/>
        </w:trPr>
        <w:tc>
          <w:tcPr>
            <w:tcW w:w="3415" w:type="dxa"/>
            <w:vAlign w:val="center"/>
          </w:tcPr>
          <w:p w14:paraId="489AD2AE" w14:textId="77777777" w:rsidR="001A1168" w:rsidRPr="0058466E" w:rsidRDefault="001A1168" w:rsidP="00CA06F2">
            <w:pPr>
              <w:ind w:firstLine="0"/>
              <w:rPr>
                <w:rFonts w:ascii="Times New Roman" w:hAnsi="Times New Roman"/>
                <w:b/>
                <w:sz w:val="24"/>
                <w:szCs w:val="24"/>
              </w:rPr>
            </w:pPr>
            <w:r w:rsidRPr="0058466E">
              <w:rPr>
                <w:rFonts w:ascii="Times New Roman" w:hAnsi="Times New Roman"/>
                <w:b/>
                <w:sz w:val="24"/>
                <w:szCs w:val="24"/>
              </w:rPr>
              <w:t>Document Type</w:t>
            </w:r>
          </w:p>
        </w:tc>
        <w:tc>
          <w:tcPr>
            <w:tcW w:w="6151" w:type="dxa"/>
            <w:vAlign w:val="center"/>
          </w:tcPr>
          <w:p w14:paraId="7691303A" w14:textId="77777777" w:rsidR="001A1168" w:rsidRPr="0058466E" w:rsidRDefault="001A1168" w:rsidP="00CA06F2">
            <w:pPr>
              <w:ind w:firstLine="0"/>
              <w:rPr>
                <w:rFonts w:ascii="Times New Roman" w:hAnsi="Times New Roman"/>
                <w:b/>
                <w:sz w:val="24"/>
                <w:szCs w:val="24"/>
              </w:rPr>
            </w:pPr>
            <w:r w:rsidRPr="0058466E">
              <w:rPr>
                <w:rFonts w:ascii="Times New Roman" w:hAnsi="Times New Roman"/>
                <w:b/>
                <w:sz w:val="24"/>
                <w:szCs w:val="24"/>
              </w:rPr>
              <w:t xml:space="preserve">Retention Period </w:t>
            </w:r>
          </w:p>
        </w:tc>
      </w:tr>
      <w:tr w:rsidR="001A1168" w:rsidRPr="0058466E" w14:paraId="0D4256A0" w14:textId="77777777" w:rsidTr="00CA06F2">
        <w:trPr>
          <w:trHeight w:val="818"/>
        </w:trPr>
        <w:tc>
          <w:tcPr>
            <w:tcW w:w="3415" w:type="dxa"/>
            <w:vAlign w:val="center"/>
          </w:tcPr>
          <w:p w14:paraId="4428BB1B"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Consolidated Year-End Final Reports</w:t>
            </w:r>
          </w:p>
        </w:tc>
        <w:tc>
          <w:tcPr>
            <w:tcW w:w="6151" w:type="dxa"/>
            <w:vAlign w:val="center"/>
          </w:tcPr>
          <w:p w14:paraId="699ED445"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Five or more years as hard copy and on website</w:t>
            </w:r>
          </w:p>
        </w:tc>
      </w:tr>
      <w:tr w:rsidR="001A1168" w:rsidRPr="0058466E" w14:paraId="192A7F61" w14:textId="77777777" w:rsidTr="00CA06F2">
        <w:trPr>
          <w:trHeight w:val="720"/>
        </w:trPr>
        <w:tc>
          <w:tcPr>
            <w:tcW w:w="3415" w:type="dxa"/>
            <w:vAlign w:val="center"/>
          </w:tcPr>
          <w:p w14:paraId="4501FFC2"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Individual Reports</w:t>
            </w:r>
          </w:p>
        </w:tc>
        <w:tc>
          <w:tcPr>
            <w:tcW w:w="6151" w:type="dxa"/>
            <w:vAlign w:val="center"/>
          </w:tcPr>
          <w:p w14:paraId="78BD81D3"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Ten years, hard copy and on website</w:t>
            </w:r>
          </w:p>
        </w:tc>
      </w:tr>
      <w:tr w:rsidR="001A1168" w:rsidRPr="0058466E" w14:paraId="55D54C30" w14:textId="77777777" w:rsidTr="00CA06F2">
        <w:trPr>
          <w:trHeight w:val="720"/>
        </w:trPr>
        <w:tc>
          <w:tcPr>
            <w:tcW w:w="3415" w:type="dxa"/>
            <w:vAlign w:val="center"/>
          </w:tcPr>
          <w:p w14:paraId="0E656C4E"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Responses to Reports</w:t>
            </w:r>
          </w:p>
        </w:tc>
        <w:tc>
          <w:tcPr>
            <w:tcW w:w="6151" w:type="dxa"/>
            <w:vAlign w:val="center"/>
          </w:tcPr>
          <w:p w14:paraId="63F8AB6C"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Ten years, hard copy and on website</w:t>
            </w:r>
          </w:p>
        </w:tc>
      </w:tr>
      <w:tr w:rsidR="001A1168" w:rsidRPr="0058466E" w14:paraId="62B6E6A4" w14:textId="77777777" w:rsidTr="00CA06F2">
        <w:trPr>
          <w:trHeight w:val="1872"/>
        </w:trPr>
        <w:tc>
          <w:tcPr>
            <w:tcW w:w="3415" w:type="dxa"/>
          </w:tcPr>
          <w:p w14:paraId="72D8B43D" w14:textId="77777777" w:rsidR="001A1168" w:rsidRPr="0058466E" w:rsidRDefault="001A1168" w:rsidP="00CA06F2">
            <w:pPr>
              <w:ind w:firstLine="0"/>
              <w:rPr>
                <w:rFonts w:ascii="Times New Roman" w:hAnsi="Times New Roman"/>
                <w:sz w:val="24"/>
                <w:szCs w:val="24"/>
              </w:rPr>
            </w:pPr>
          </w:p>
          <w:p w14:paraId="7E876A17"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Sealed and Dated</w:t>
            </w:r>
          </w:p>
          <w:p w14:paraId="2BFDDDC8"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Investigation Files</w:t>
            </w:r>
          </w:p>
        </w:tc>
        <w:tc>
          <w:tcPr>
            <w:tcW w:w="6151" w:type="dxa"/>
            <w:vAlign w:val="center"/>
          </w:tcPr>
          <w:p w14:paraId="45320B03"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Investigation files not passed forward to the next grand jury should be sealed (taped shut) and labelled with the name and date and “Confidential: To be opened upon direction of Court or County Counsel only.” These files should be destroyed at the end of the succeeding grand jury’s term.</w:t>
            </w:r>
          </w:p>
          <w:p w14:paraId="2BDD4543"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Highly sensitive files, particularly if there is the possibility of a defamation claim, should be delivered to County Counsel’s office for retention.</w:t>
            </w:r>
          </w:p>
        </w:tc>
      </w:tr>
      <w:tr w:rsidR="001A1168" w:rsidRPr="0058466E" w14:paraId="5B34C5AB" w14:textId="77777777" w:rsidTr="00CA06F2">
        <w:trPr>
          <w:trHeight w:val="1340"/>
        </w:trPr>
        <w:tc>
          <w:tcPr>
            <w:tcW w:w="3415" w:type="dxa"/>
          </w:tcPr>
          <w:p w14:paraId="1DBB1079" w14:textId="77777777" w:rsidR="001A1168" w:rsidRPr="0058466E" w:rsidRDefault="001A1168" w:rsidP="00CA06F2">
            <w:pPr>
              <w:ind w:firstLine="0"/>
              <w:rPr>
                <w:rFonts w:ascii="Times New Roman" w:hAnsi="Times New Roman"/>
                <w:sz w:val="24"/>
                <w:szCs w:val="24"/>
              </w:rPr>
            </w:pPr>
          </w:p>
          <w:p w14:paraId="2C73C534"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 xml:space="preserve">Procedures Manual and Training Manuals </w:t>
            </w:r>
          </w:p>
        </w:tc>
        <w:tc>
          <w:tcPr>
            <w:tcW w:w="6151" w:type="dxa"/>
            <w:vAlign w:val="center"/>
          </w:tcPr>
          <w:p w14:paraId="70612E29"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 xml:space="preserve">Each grand jury approves its Procedures Manual and uses it for one year. Prior Procedure Manuals and CGJA Training Materials may be kept for up to three years for reference, but only the current version should be used. </w:t>
            </w:r>
          </w:p>
        </w:tc>
      </w:tr>
      <w:tr w:rsidR="001A1168" w:rsidRPr="0058466E" w14:paraId="6A00DAFC" w14:textId="77777777" w:rsidTr="00CA06F2">
        <w:trPr>
          <w:trHeight w:val="620"/>
        </w:trPr>
        <w:tc>
          <w:tcPr>
            <w:tcW w:w="3415" w:type="dxa"/>
            <w:vAlign w:val="center"/>
          </w:tcPr>
          <w:p w14:paraId="129004D2"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Grand Jury Budget Documents</w:t>
            </w:r>
          </w:p>
        </w:tc>
        <w:tc>
          <w:tcPr>
            <w:tcW w:w="6151" w:type="dxa"/>
            <w:vAlign w:val="center"/>
          </w:tcPr>
          <w:p w14:paraId="3A159BA5"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At least one year after close of fiscal year</w:t>
            </w:r>
          </w:p>
        </w:tc>
      </w:tr>
      <w:tr w:rsidR="001A1168" w:rsidRPr="0058466E" w14:paraId="51F46D9A" w14:textId="77777777" w:rsidTr="00CA06F2">
        <w:trPr>
          <w:trHeight w:val="620"/>
        </w:trPr>
        <w:tc>
          <w:tcPr>
            <w:tcW w:w="3415" w:type="dxa"/>
            <w:vAlign w:val="center"/>
          </w:tcPr>
          <w:p w14:paraId="3DDDF1C7"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Law Books and CGJA</w:t>
            </w:r>
          </w:p>
          <w:p w14:paraId="06913F48"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Compendium</w:t>
            </w:r>
          </w:p>
        </w:tc>
        <w:tc>
          <w:tcPr>
            <w:tcW w:w="6151" w:type="dxa"/>
            <w:vAlign w:val="center"/>
          </w:tcPr>
          <w:p w14:paraId="0D35546C"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Until new editions are available</w:t>
            </w:r>
          </w:p>
        </w:tc>
      </w:tr>
      <w:tr w:rsidR="001A1168" w:rsidRPr="0058466E" w14:paraId="3FA03FCF" w14:textId="77777777" w:rsidTr="00CA06F2">
        <w:trPr>
          <w:trHeight w:val="602"/>
        </w:trPr>
        <w:tc>
          <w:tcPr>
            <w:tcW w:w="3415" w:type="dxa"/>
            <w:vAlign w:val="center"/>
          </w:tcPr>
          <w:p w14:paraId="291D99E5"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Complaints and Log</w:t>
            </w:r>
          </w:p>
        </w:tc>
        <w:tc>
          <w:tcPr>
            <w:tcW w:w="6151" w:type="dxa"/>
            <w:vAlign w:val="center"/>
          </w:tcPr>
          <w:p w14:paraId="6FA59DB6"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To be destroyed at the end of the current Grand Jury term</w:t>
            </w:r>
          </w:p>
        </w:tc>
      </w:tr>
      <w:tr w:rsidR="001A1168" w:rsidRPr="0058466E" w14:paraId="6027FE3B" w14:textId="77777777" w:rsidTr="00CA06F2">
        <w:trPr>
          <w:trHeight w:val="665"/>
        </w:trPr>
        <w:tc>
          <w:tcPr>
            <w:tcW w:w="3415" w:type="dxa"/>
            <w:vAlign w:val="center"/>
          </w:tcPr>
          <w:p w14:paraId="01BCC93C"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Plenary and committee minutes</w:t>
            </w:r>
          </w:p>
        </w:tc>
        <w:tc>
          <w:tcPr>
            <w:tcW w:w="6151" w:type="dxa"/>
            <w:vAlign w:val="center"/>
          </w:tcPr>
          <w:p w14:paraId="4280BEE4"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To be destroyed at the end of the current Grand Jury term</w:t>
            </w:r>
          </w:p>
        </w:tc>
      </w:tr>
      <w:tr w:rsidR="001A1168" w:rsidRPr="0058466E" w14:paraId="693103DD" w14:textId="77777777" w:rsidTr="00CA06F2">
        <w:trPr>
          <w:trHeight w:val="917"/>
        </w:trPr>
        <w:tc>
          <w:tcPr>
            <w:tcW w:w="3415" w:type="dxa"/>
            <w:vAlign w:val="center"/>
          </w:tcPr>
          <w:p w14:paraId="79510043"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 xml:space="preserve">Correspondence, memos, or drafts </w:t>
            </w:r>
          </w:p>
        </w:tc>
        <w:tc>
          <w:tcPr>
            <w:tcW w:w="6151" w:type="dxa"/>
            <w:vAlign w:val="center"/>
          </w:tcPr>
          <w:p w14:paraId="3383FA95"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To be destroyed at the end of the current Grand Jury term</w:t>
            </w:r>
          </w:p>
        </w:tc>
      </w:tr>
      <w:tr w:rsidR="001A1168" w:rsidRPr="0058466E" w14:paraId="710445FC" w14:textId="77777777" w:rsidTr="00CA06F2">
        <w:trPr>
          <w:trHeight w:val="1070"/>
        </w:trPr>
        <w:tc>
          <w:tcPr>
            <w:tcW w:w="3415" w:type="dxa"/>
            <w:vAlign w:val="center"/>
          </w:tcPr>
          <w:p w14:paraId="186E180B"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 xml:space="preserve">Public domain documents, and other non-confidential documents of historical interest </w:t>
            </w:r>
          </w:p>
        </w:tc>
        <w:tc>
          <w:tcPr>
            <w:tcW w:w="6151" w:type="dxa"/>
            <w:vAlign w:val="center"/>
          </w:tcPr>
          <w:p w14:paraId="529D20E8" w14:textId="77777777" w:rsidR="001A1168" w:rsidRPr="0058466E" w:rsidRDefault="001A1168" w:rsidP="00CA06F2">
            <w:pPr>
              <w:ind w:firstLine="0"/>
              <w:rPr>
                <w:rFonts w:ascii="Times New Roman" w:hAnsi="Times New Roman"/>
                <w:sz w:val="24"/>
                <w:szCs w:val="24"/>
              </w:rPr>
            </w:pPr>
            <w:r w:rsidRPr="0058466E">
              <w:rPr>
                <w:rFonts w:ascii="Times New Roman" w:hAnsi="Times New Roman"/>
                <w:sz w:val="24"/>
                <w:szCs w:val="24"/>
              </w:rPr>
              <w:t>Until no longer of interest</w:t>
            </w:r>
          </w:p>
        </w:tc>
      </w:tr>
    </w:tbl>
    <w:p w14:paraId="6308A4CE" w14:textId="77777777" w:rsidR="00932912" w:rsidRDefault="00932912" w:rsidP="00C46348">
      <w:pPr>
        <w:ind w:firstLine="0"/>
      </w:pPr>
    </w:p>
    <w:sectPr w:rsidR="00932912" w:rsidSect="0092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95D21"/>
    <w:multiLevelType w:val="hybridMultilevel"/>
    <w:tmpl w:val="9978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68"/>
    <w:rsid w:val="001A1168"/>
    <w:rsid w:val="00920747"/>
    <w:rsid w:val="00932912"/>
    <w:rsid w:val="009861D8"/>
    <w:rsid w:val="00C46348"/>
    <w:rsid w:val="00EB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F0DD"/>
  <w15:chartTrackingRefBased/>
  <w15:docId w15:val="{A7C3CAC2-2333-254B-AEDC-710DD277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168"/>
    <w:pPr>
      <w:ind w:firstLine="360"/>
    </w:pPr>
    <w:rPr>
      <w:rFonts w:ascii="Calibri" w:eastAsia="Calibri" w:hAnsi="Calibri" w:cs="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Jahr</dc:creator>
  <cp:keywords/>
  <dc:description/>
  <cp:lastModifiedBy>Karen Jahr</cp:lastModifiedBy>
  <cp:revision>2</cp:revision>
  <dcterms:created xsi:type="dcterms:W3CDTF">2026-05-26T16:36:00Z</dcterms:created>
  <dcterms:modified xsi:type="dcterms:W3CDTF">2026-05-26T16:36:00Z</dcterms:modified>
</cp:coreProperties>
</file>